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ЛЕНИНГРАДСКАЯ ОБЛАСТЬ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ЛУЖСКИЙ МУНИЦИПАЛЬНЫЙ РАЙОН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АДМИНИСТРАЦИЯ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17 февраля 2020 года № </w:t>
      </w:r>
      <w:bookmarkStart w:id="0" w:name="_GoBack"/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44</w:t>
      </w:r>
      <w:bookmarkEnd w:id="0"/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Порядка формирования перечня налоговых расходов и осуществления оценки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со </w:t>
      </w:r>
      <w:hyperlink r:id="rId5" w:tooltip="статьей 174.3" w:history="1">
        <w:r w:rsidRPr="006B4078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статьей 174.3</w:t>
        </w:r>
      </w:hyperlink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Бюджетного </w:t>
      </w:r>
      <w:hyperlink r:id="rId6" w:tooltip="кодекса" w:history="1">
        <w:r w:rsidRPr="006B4078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кодекса</w:t>
        </w:r>
      </w:hyperlink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Российской Федерации и </w:t>
      </w:r>
      <w:hyperlink r:id="rId7" w:tooltip="постановлением" w:history="1">
        <w:r w:rsidRPr="006B4078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постановлением</w:t>
        </w:r>
      </w:hyperlink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администрация Дзержинского поселения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ПОСТАНОВЛЯЕТ:</w:t>
      </w:r>
    </w:p>
    <w:p w:rsidR="006B4078" w:rsidRPr="006B4078" w:rsidRDefault="006B4078" w:rsidP="006B4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прилагаемый Порядок формирования перечня налоговых расходов и осуществления оценки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в соответствии с приложением к настоящему постановлению.</w:t>
      </w:r>
    </w:p>
    <w:p w:rsidR="006B4078" w:rsidRPr="006B4078" w:rsidRDefault="006B4078" w:rsidP="006B4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 момента подписания и распространяет действие на правоотношения, возникшие с 01.01.2020.</w:t>
      </w:r>
    </w:p>
    <w:p w:rsidR="006B4078" w:rsidRPr="006B4078" w:rsidRDefault="006B4078" w:rsidP="006B4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:rsidR="006B4078" w:rsidRPr="006B4078" w:rsidRDefault="006B4078" w:rsidP="006B4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И.о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главы администрации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М.П.Курчанов</w:t>
      </w:r>
      <w:proofErr w:type="spellEnd"/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постановлением администрации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17.02.2020г. № 44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(приложение)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Порядок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формирования перечня налоговых расходов и осуществления оценки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6B4078" w:rsidRPr="006B4078" w:rsidRDefault="006B4078" w:rsidP="006B4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Общие положения</w:t>
      </w:r>
    </w:p>
    <w:p w:rsidR="006B4078" w:rsidRPr="006B4078" w:rsidRDefault="006B4078" w:rsidP="006B4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1.1. Настоящий Порядок формирования перечня налоговых расходов и осуществления оценки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Порядок) определяет механизм формирования перечня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осуществления оценки налоговых расходов муниципального образования Дзержинское 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обобщения результатов оценки эффективности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и правила формирования информации о нормативных, целевых и фискальных характеристиках налоговых расходов муниципального образования Дзержинское поселение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- муниципальное образование).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1.2. Термины и понятия, используемые в настоящем Порядке,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1.3. 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 муниципального образования, составляемый администраций Дзержинское поселения 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(далее - Администрация).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1.4. В целях оценки налоговых расходов муниципального образования Администрация: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формирует перечень налоговых расходов муниципального образования на очередной финансовый год и плановый период (далее - перечень налоговых расходов) по форме согласно приложению 1 к настоящему Порядку;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формирует паспорта налоговых расходов муниципального образования по форме согласно приложению 2 к настоящему Порядку и в сроки, установленные пунктом 3.4 настоящего Порядка;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4) осуществляет оценку эффективности налоговых расходов муниципального образования.</w:t>
      </w:r>
    </w:p>
    <w:p w:rsidR="006B4078" w:rsidRPr="006B4078" w:rsidRDefault="006B4078" w:rsidP="006B4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 формирования перечня налоговых расходов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муниципального образования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2.1. Проект перечня налоговых расходов муниципального образования формируется Администрацией до 1 марта текущего финансового года в соответствии с целями муниципальных программ муниципального образования, структурных элементов муниципальных программ и (или) целями социально-экономической политики муниципального образования, не относящимся к муниципальным программам муниципального образования, на основании данных о фискальных характеристиках налоговых расходов.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2.2. Проект перечня налоговых расходов рассматривается на предмет предлагаемого распределения налоговых расходов в соответствии с целями муниципальных программ муниципального образования, структурных элементов муниципальных программ.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2.3. Перечень налоговых расходов утверждается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период, внесения изменений в налоговое законодательство Российской 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Федерации и нормативно-правовые акты муниципального образования в части предоставления налоговых льгот).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2.4. Перечень налоговых расходов утверждается постановлением Администрации и в течение 10 дней размещается на официальном сайте Администрации.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2.5.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полномочий, в связи с которыми возникает необходимость внесения изменений в перечень налоговых расходов, Перечень налоговых расходов подлежит уточнению.</w:t>
      </w:r>
    </w:p>
    <w:p w:rsidR="006B4078" w:rsidRPr="006B4078" w:rsidRDefault="006B4078" w:rsidP="006B4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Правила формирования информации о налоговых расходах муниципального образования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3.1. Администрация ежегодно осуществляет учет информации о налоговых расходах муниципального образования.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Учет информации о налоговых расходах осуществляется в электронном виде (в формате электронной таблицы) в разрезе показателей, включенных в паспорт налогового расхода муниципального образования (далее - паспорт налогового расхода).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Паспорт налогового расхода в электронном виде формируется до 15 мая текущего финансового года. При необходимости, в том числе с учетом пункта 2.3. настоящего Порядка, указанная информация может быть уточнена до 1 августа текущего финансового года.</w:t>
      </w:r>
    </w:p>
    <w:p w:rsidR="006B4078" w:rsidRPr="006B4078" w:rsidRDefault="006B4078" w:rsidP="006B40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 оценки эффективности налоговых расходов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4.1. Оценка эффективности налоговых расходов осуществляется Администрацией ежегодно и включает: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оценку целесообразности налоговых расходов;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оценку результативности налоговых расходов.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4.2. Критериями целесообразности налоговых расходов являются: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4.3. В случае несоответствия налоговых расходов хотя бы одному из критериев, указанных в пункте 4.2 настоящего Порядка, Администрация вносит в предложения представительный орган о сохранении (уточнении, отмене) льгот для плательщиков.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4.8.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пределах установленных полномочий, могут учитываться в том числе: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предоставление муниципальных гарантий из бюджета муниципального образования по обязательствам плательщиков, имеющих право на льготы;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4.9. Оценка совокупного бюджетного эффекта (самоокупаемости) налоговых расходов определяется отдельно по каждому налоговому расходу.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4.10. 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Администрацией,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>
            <wp:extent cx="3314700" cy="1092200"/>
            <wp:effectExtent l="0" t="0" r="0" b="0"/>
            <wp:docPr id="3" name="Рисунок 3" descr="Формула">
              <a:hlinkClick xmlns:a="http://schemas.openxmlformats.org/drawingml/2006/main" r:id="rId8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>
                      <a:hlinkClick r:id="rId8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где: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порядковый номер года, имеющий значение от 1 до 5;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количество плательщиков, воспользовавшихся льготой в i-м году;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порядковый номер плательщика;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объем налогов, задекларированных для уплаты в бюджеты муниципального образования j-м плательщиком в i-м году;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базовый объем налогов, задекларированных для уплаты в бюджеты муниципального образования j-м плательщиком в базовом году;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номинальный темп прироста налоговых доходов бюджета муниципального образования в i-м году по отношению к показателям базового года;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lang w:eastAsia="ru-RU"/>
        </w:rPr>
        <w:t>r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- расчетная стоимость среднесрочных рыночных заимствований муниципального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образования, рассчитываемая по формуле: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1549400" cy="482600"/>
            <wp:effectExtent l="0" t="0" r="0" b="0"/>
            <wp:docPr id="2" name="Рисунок 2" descr="Формула">
              <a:hlinkClick xmlns:a="http://schemas.openxmlformats.org/drawingml/2006/main" r:id="rId10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>
                      <a:hlinkClick r:id="rId10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где: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целевой уровень инфляции (4 процента);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реальная процентная ставка, определяемая на уровне 2,5 процента;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кредитная премия за риск,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отношении менее 50 процентов кредитная премия за риск принимается равной 1 проценту.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отношении от 50 до 100 процентов кредитная премия за риск принимается равной 2 процентам,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отношении более 100 процентов кредитная премия за риск принимается равной 3 процентам.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Базовый объем налогов, задекларированных для уплаты в консолидированный бюджет муниципального образования j-м плательщиком в базовом году </w:t>
      </w:r>
      <w:proofErr w:type="gram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 )</w:t>
      </w:r>
      <w:proofErr w:type="gram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рассчитывается по формуле: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>
            <wp:extent cx="1498600" cy="571500"/>
            <wp:effectExtent l="0" t="0" r="6350" b="0"/>
            <wp:docPr id="1" name="Рисунок 1" descr="Формула">
              <a:hlinkClick xmlns:a="http://schemas.openxmlformats.org/drawingml/2006/main" r:id="rId12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>
                      <a:hlinkClick r:id="rId12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где: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- объем налогов, задекларированных для уплаты в бюджет муниципального образования j-м плательщиком в базовом году;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объем льгот, предоставленных j-</w:t>
      </w:r>
      <w:proofErr w:type="spellStart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му</w:t>
      </w:r>
      <w:proofErr w:type="spellEnd"/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плательщику в базовом году.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4.11. Для оценки эффективности налоговые расходы необходимо распределить в зависимости от их целевой составляющей: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социальная - поддержка отдельных категорий граждан;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техническая - устранение/уменьшение встречных финансовых потоков;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4.12. Принципы оценки эффективности налоговых расходов включают: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принцип самоокупаемости (дополнительные доходы от налогового расхода должны окупать выпадающие доходы бюджета);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долговая устойчивость (эффективные налоговые расходы не приводят к росту долговой нагрузки);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межбюджетное стимулирование (создание стимулов для отмены неэффективных налоговых расходов).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4.13. По итогам оценки эффективности налоговых расходов Администрация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формирует пояснительную записку по результатам проведенной оценки эффективности налоговых расходов муниципального образования с обоснованием выводов, сделанных на основании проведенной оценки.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1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к Порядку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Перечень</w:t>
      </w:r>
      <w:r w:rsidRPr="006B40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налоговых расходов (наименование муниципального образования)</w:t>
      </w:r>
    </w:p>
    <w:p w:rsidR="006B4078" w:rsidRPr="006B4078" w:rsidRDefault="006B4078" w:rsidP="006B4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на 2020 год и плановый период 2021-2022 годов</w:t>
      </w:r>
    </w:p>
    <w:tbl>
      <w:tblPr>
        <w:tblW w:w="7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2"/>
        <w:gridCol w:w="2158"/>
        <w:gridCol w:w="2145"/>
        <w:gridCol w:w="2458"/>
        <w:gridCol w:w="1894"/>
      </w:tblGrid>
      <w:tr w:rsidR="006B4078" w:rsidRPr="006B4078" w:rsidTr="006B4078"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муниципальной программы, структурных элементов муниципальной программы и (или) целей </w:t>
            </w: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lastRenderedPageBreak/>
              <w:t>социально-экономической политики, не относящихся к муниципальным программам</w:t>
            </w:r>
          </w:p>
        </w:tc>
      </w:tr>
      <w:tr w:rsidR="006B4078" w:rsidRPr="006B4078" w:rsidTr="006B4078"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5</w:t>
            </w:r>
          </w:p>
        </w:tc>
      </w:tr>
      <w:tr w:rsidR="006B4078" w:rsidRPr="006B4078" w:rsidTr="006B4078"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Решение совета депутатов от 22.11.2019г. № 18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 Повышение уровня и качества жизни граждан (в соответствии с целями, обозначенными в Стратегии социально-экономического развития </w:t>
            </w:r>
            <w:proofErr w:type="spellStart"/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на 2016-2030 гг.)</w:t>
            </w:r>
          </w:p>
        </w:tc>
      </w:tr>
      <w:tr w:rsidR="006B4078" w:rsidRPr="006B4078" w:rsidTr="006B4078"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6B4078" w:rsidRPr="006B4078" w:rsidTr="006B4078"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078" w:rsidRPr="006B4078" w:rsidRDefault="006B4078" w:rsidP="006B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170ED6" w:rsidRPr="006B4078" w:rsidRDefault="00170ED6" w:rsidP="006B4078">
      <w:pPr>
        <w:rPr>
          <w:rFonts w:ascii="Times New Roman" w:hAnsi="Times New Roman" w:cs="Times New Roman"/>
          <w:sz w:val="24"/>
          <w:szCs w:val="24"/>
        </w:rPr>
      </w:pPr>
    </w:p>
    <w:sectPr w:rsidR="00170ED6" w:rsidRPr="006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3E9"/>
    <w:multiLevelType w:val="multilevel"/>
    <w:tmpl w:val="5A16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C3371"/>
    <w:multiLevelType w:val="multilevel"/>
    <w:tmpl w:val="42B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528A3"/>
    <w:multiLevelType w:val="multilevel"/>
    <w:tmpl w:val="6A50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C18C6"/>
    <w:multiLevelType w:val="multilevel"/>
    <w:tmpl w:val="4B72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A7DBF"/>
    <w:multiLevelType w:val="multilevel"/>
    <w:tmpl w:val="CBD89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4"/>
    <w:rsid w:val="00170ED6"/>
    <w:rsid w:val="006B4078"/>
    <w:rsid w:val="00E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A1AB-A449-4EE5-8713-C5F5474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664"/>
    <w:rPr>
      <w:b/>
      <w:bCs/>
    </w:rPr>
  </w:style>
  <w:style w:type="character" w:styleId="a5">
    <w:name w:val="Hyperlink"/>
    <w:basedOn w:val="a0"/>
    <w:uiPriority w:val="99"/>
    <w:semiHidden/>
    <w:unhideWhenUsed/>
    <w:rsid w:val="006B4078"/>
    <w:rPr>
      <w:color w:val="0000FF"/>
      <w:u w:val="single"/>
    </w:rPr>
  </w:style>
  <w:style w:type="character" w:styleId="a6">
    <w:name w:val="Emphasis"/>
    <w:basedOn w:val="a0"/>
    <w:uiPriority w:val="20"/>
    <w:qFormat/>
    <w:rsid w:val="006B4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tinybrowser/fulls/files/dokumenty/postanovlenya/2020/08/1.pn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178816/" TargetMode="External"/><Relationship Id="rId12" Type="http://schemas.openxmlformats.org/officeDocument/2006/relationships/hyperlink" Target="http://www.dz-sp.ru/tinybrowser/fulls/files/dokumenty/postanovlenya/2020/08/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consultant.ru/document/cons_doc_LAW_19702/82d4b685cb9e92ff0547bd5735e042a9d928458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z-sp.ru/tinybrowser/fulls/files/dokumenty/postanovlenya/2020/08/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2025-02-11T09:25:00Z</dcterms:created>
  <dcterms:modified xsi:type="dcterms:W3CDTF">2025-02-11T09:25:00Z</dcterms:modified>
</cp:coreProperties>
</file>