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11" w:rsidRDefault="00957011" w:rsidP="000D3855">
      <w:pPr>
        <w:pStyle w:val="afe"/>
        <w:contextualSpacing/>
      </w:pPr>
    </w:p>
    <w:p w:rsidR="00957011" w:rsidRPr="00243F67" w:rsidRDefault="00957011" w:rsidP="000D3855">
      <w:pPr>
        <w:pStyle w:val="afe"/>
        <w:contextualSpacing/>
      </w:pPr>
    </w:p>
    <w:p w:rsidR="00730A7B" w:rsidRPr="00243F67" w:rsidRDefault="00730A7B" w:rsidP="000D3855">
      <w:pPr>
        <w:pStyle w:val="afe"/>
        <w:contextualSpacing/>
      </w:pPr>
    </w:p>
    <w:p w:rsidR="00EB43B8" w:rsidRPr="00243F67" w:rsidRDefault="000D3855" w:rsidP="00FB6DF3">
      <w:pPr>
        <w:pStyle w:val="afe"/>
        <w:contextualSpacing/>
      </w:pPr>
      <w:r w:rsidRPr="00243F67">
        <w:t>Разослано: в дело, прокуратура</w:t>
      </w:r>
    </w:p>
    <w:p w:rsidR="0043572C" w:rsidRPr="00243F67" w:rsidRDefault="0043572C" w:rsidP="00FB6DF3">
      <w:pPr>
        <w:pStyle w:val="afe"/>
        <w:contextualSpacing/>
      </w:pPr>
    </w:p>
    <w:p w:rsidR="00544E21" w:rsidRDefault="00544E21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4E21" w:rsidRDefault="00544E21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4E21" w:rsidRDefault="005B6FD7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к постановлению администрации</w:t>
      </w:r>
    </w:p>
    <w:p w:rsidR="005B6FD7" w:rsidRDefault="005B6FD7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27.02.2024г. № 38</w:t>
      </w:r>
    </w:p>
    <w:p w:rsidR="005B6FD7" w:rsidRDefault="005B6FD7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Дзержинского сельского поселения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или пунктом 2 статьи 39.10 Земельного кодекса Российской </w:t>
      </w:r>
      <w:r w:rsidRPr="005B6FD7">
        <w:rPr>
          <w:rFonts w:ascii="ArialMT" w:eastAsiaTheme="minorEastAsia" w:hAnsi="ArialMT" w:cs="ArialMT"/>
          <w:sz w:val="26"/>
          <w:szCs w:val="26"/>
          <w:lang w:eastAsia="ru-RU"/>
        </w:rPr>
        <w:t>Федерации 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платы»: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 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5046"/>
        <w:gridCol w:w="5092"/>
      </w:tblGrid>
      <w:tr w:rsidR="005B6FD7" w:rsidRPr="00175534" w:rsidTr="001A6F4D">
        <w:tc>
          <w:tcPr>
            <w:tcW w:w="5046" w:type="dxa"/>
          </w:tcPr>
          <w:p w:rsidR="005B6FD7" w:rsidRPr="005B6FD7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кодекса Российской Федерации,</w:t>
            </w:r>
          </w:p>
          <w:p w:rsidR="005B6FD7" w:rsidRPr="00175534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5B6FD7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</w:t>
            </w:r>
            <w:r w:rsidRPr="007536A8">
              <w:rPr>
                <w:rFonts w:eastAsia="Times New Roman"/>
                <w:szCs w:val="20"/>
              </w:rPr>
              <w:lastRenderedPageBreak/>
              <w:t>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5B6FD7" w:rsidRPr="008E2276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8E2276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B6FD7" w:rsidRPr="00902A84" w:rsidRDefault="005B6FD7" w:rsidP="001A6F4D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</w:t>
            </w:r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аренды земельного участка;</w:t>
            </w:r>
          </w:p>
          <w:p w:rsidR="005B6FD7" w:rsidRPr="00B625F4" w:rsidRDefault="005B6FD7" w:rsidP="001A6F4D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земельного участка.</w:t>
            </w:r>
          </w:p>
        </w:tc>
      </w:tr>
      <w:tr w:rsidR="005B6FD7" w:rsidRPr="00175534" w:rsidTr="001A6F4D">
        <w:tc>
          <w:tcPr>
            <w:tcW w:w="5046" w:type="dxa"/>
          </w:tcPr>
          <w:p w:rsidR="005B6FD7" w:rsidRPr="005B6FD7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 Земельного кодекса Российской Федерации,</w:t>
            </w:r>
          </w:p>
          <w:p w:rsidR="005B6FD7" w:rsidRPr="00175534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</w:t>
            </w:r>
            <w:r w:rsidRPr="007536A8">
              <w:rPr>
                <w:rFonts w:eastAsia="Times New Roman"/>
                <w:szCs w:val="20"/>
              </w:rPr>
              <w:lastRenderedPageBreak/>
              <w:t>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</w:t>
            </w:r>
            <w:r w:rsidRPr="007536A8">
              <w:rPr>
                <w:rFonts w:eastAsia="Times New Roman"/>
                <w:szCs w:val="20"/>
              </w:rPr>
              <w:lastRenderedPageBreak/>
              <w:t>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7536A8">
              <w:rPr>
                <w:rFonts w:eastAsia="Times New Roman"/>
                <w:szCs w:val="20"/>
              </w:rPr>
              <w:t>электро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-, тепло-, </w:t>
            </w:r>
            <w:proofErr w:type="spellStart"/>
            <w:r w:rsidRPr="007536A8">
              <w:rPr>
                <w:rFonts w:eastAsia="Times New Roman"/>
                <w:szCs w:val="20"/>
              </w:rPr>
              <w:t>газо</w:t>
            </w:r>
            <w:proofErr w:type="spellEnd"/>
            <w:r w:rsidRPr="007536A8">
              <w:rPr>
                <w:rFonts w:eastAsia="Times New Roman"/>
                <w:szCs w:val="20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</w:t>
            </w:r>
            <w:r w:rsidRPr="005B6FD7">
              <w:rPr>
                <w:rFonts w:eastAsia="Times New Roman"/>
                <w:szCs w:val="20"/>
              </w:rPr>
              <w:t>Кодекса;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 xml:space="preserve">9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8" w:history="1">
              <w:r w:rsidRPr="005B6FD7">
                <w:rPr>
                  <w:rFonts w:eastAsia="Times New Roman"/>
                  <w:szCs w:val="20"/>
                </w:rPr>
                <w:t>статьей 39.20</w:t>
              </w:r>
            </w:hyperlink>
            <w:r w:rsidRPr="005B6FD7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10) земельного участка, на котором</w:t>
            </w:r>
            <w:r w:rsidRPr="007536A8">
              <w:rPr>
                <w:rFonts w:eastAsia="Times New Roman"/>
                <w:szCs w:val="20"/>
              </w:rPr>
              <w:t xml:space="preserve">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11) земельного участка, находящегося в постоянном (бессрочном) пользовании </w:t>
            </w:r>
            <w:r w:rsidRPr="007536A8">
              <w:rPr>
                <w:rFonts w:eastAsia="Times New Roman"/>
                <w:szCs w:val="20"/>
              </w:rPr>
              <w:lastRenderedPageBreak/>
              <w:t>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</w:t>
            </w:r>
            <w:r w:rsidRPr="007536A8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</w:t>
            </w:r>
            <w:r w:rsidRPr="005B6FD7">
              <w:rPr>
                <w:rFonts w:eastAsia="Times New Roman"/>
                <w:szCs w:val="20"/>
              </w:rPr>
              <w:t>комплексном развитии территории;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</w:t>
            </w:r>
            <w:r w:rsidRPr="007536A8">
              <w:rPr>
                <w:rFonts w:eastAsia="Times New Roman"/>
                <w:szCs w:val="20"/>
              </w:rPr>
              <w:lastRenderedPageBreak/>
              <w:t>либо ограничен в обороте;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5B6FD7">
              <w:rPr>
                <w:rFonts w:eastAsia="Times New Roman"/>
                <w:szCs w:val="20"/>
              </w:rPr>
              <w:t>недропользователю</w:t>
            </w:r>
            <w:proofErr w:type="spellEnd"/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536A8">
              <w:rPr>
                <w:rFonts w:eastAsia="Times New Roman"/>
                <w:szCs w:val="20"/>
              </w:rPr>
              <w:t>муниципально-частном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</w:t>
            </w:r>
            <w:r w:rsidRPr="007536A8">
              <w:rPr>
                <w:rFonts w:eastAsia="Times New Roman"/>
                <w:szCs w:val="20"/>
              </w:rPr>
              <w:lastRenderedPageBreak/>
              <w:t>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соглашение;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</w:t>
            </w:r>
            <w:r w:rsidRPr="007536A8">
              <w:rPr>
                <w:rFonts w:eastAsia="Times New Roman"/>
                <w:szCs w:val="20"/>
              </w:rPr>
              <w:lastRenderedPageBreak/>
              <w:t>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29.1) земельного участка лицу, осуществляющему товарную </w:t>
            </w:r>
            <w:proofErr w:type="spellStart"/>
            <w:r w:rsidRPr="007536A8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536A8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</w:t>
            </w:r>
            <w:r w:rsidRPr="007536A8">
              <w:rPr>
                <w:rFonts w:eastAsia="Times New Roman"/>
                <w:szCs w:val="20"/>
              </w:rPr>
              <w:lastRenderedPageBreak/>
              <w:t>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</w:t>
            </w:r>
            <w:r w:rsidRPr="007536A8">
              <w:rPr>
                <w:rFonts w:eastAsia="Times New Roman"/>
                <w:szCs w:val="20"/>
              </w:rPr>
              <w:lastRenderedPageBreak/>
              <w:t>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B6FD7" w:rsidRPr="003C54CC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м кодексом Российской Федерации</w:t>
            </w:r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5B6FD7" w:rsidRPr="005B6FD7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B6F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5B6FD7" w:rsidRPr="005B6FD7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9" w:history="1">
              <w:r w:rsidRPr="005B6FD7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5B6FD7" w:rsidRPr="005B6FD7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      </w:r>
          </w:p>
          <w:p w:rsidR="005B6FD7" w:rsidRPr="00146A03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B6FD7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5B6FD7">
              <w:t xml:space="preserve"> </w:t>
            </w:r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5B6FD7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5B6FD7" w:rsidRPr="00175534" w:rsidTr="001A6F4D">
        <w:tc>
          <w:tcPr>
            <w:tcW w:w="5046" w:type="dxa"/>
          </w:tcPr>
          <w:p w:rsidR="005B6FD7" w:rsidRPr="00175534" w:rsidRDefault="005B6FD7" w:rsidP="001A6F4D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</w:t>
            </w:r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пользование» (п. 2. ст. 39.10 Земельного кодекса Российской Федерации)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3) религиозным организациям для </w:t>
            </w:r>
            <w:r w:rsidRPr="007536A8">
              <w:rPr>
                <w:rFonts w:eastAsia="Times New Roman"/>
                <w:szCs w:val="20"/>
              </w:rPr>
              <w:lastRenderedPageBreak/>
              <w:t>размещения зданий, сооружений религиозного или благотворительного назначения на срок до десяти лет;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4) религиозным организациям, если на таких земельных участках расположены принадлежащие им на праве безвозмездного пользования здания, </w:t>
            </w:r>
            <w:r w:rsidRPr="005B6FD7">
              <w:rPr>
                <w:rFonts w:eastAsia="Times New Roman"/>
                <w:szCs w:val="20"/>
              </w:rPr>
              <w:t>сооружения, на срок до прекращения прав на указанные здания, сооружения;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</w:t>
            </w:r>
            <w:r w:rsidRPr="007536A8">
              <w:rPr>
                <w:rFonts w:eastAsia="Times New Roman"/>
                <w:szCs w:val="20"/>
              </w:rPr>
              <w:lastRenderedPageBreak/>
              <w:t>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</w:t>
            </w:r>
            <w:r w:rsidRPr="007536A8">
              <w:rPr>
                <w:rFonts w:eastAsia="Times New Roman"/>
                <w:szCs w:val="20"/>
              </w:rPr>
              <w:lastRenderedPageBreak/>
              <w:t>Федерации, в целях строительства указанных жилых помещений на период осуществления данного строительства;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</w:t>
            </w:r>
            <w:r w:rsidRPr="007536A8">
              <w:rPr>
                <w:rFonts w:eastAsia="Times New Roman"/>
                <w:szCs w:val="20"/>
              </w:rPr>
              <w:lastRenderedPageBreak/>
              <w:t>общества "Почта России" и о внесении изменений в отдельные законодательные акты Российской Федерации".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B6FD7" w:rsidRPr="00DE54AD" w:rsidRDefault="005B6FD7" w:rsidP="001A6F4D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54AD">
              <w:rPr>
                <w:rFonts w:ascii="Calibri" w:eastAsia="Times New Roman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случае, если на земельном участке расположен объект недвижимости: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5B6FD7" w:rsidRPr="00D31703" w:rsidTr="001A6F4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6FD7" w:rsidRPr="00D31703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FD7" w:rsidRPr="00EF3A04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5B6FD7" w:rsidRPr="00D31703" w:rsidTr="001A6F4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6FD7" w:rsidRPr="00D31703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FD7" w:rsidRPr="00EF3A04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5B6FD7" w:rsidRPr="00D31703" w:rsidTr="001A6F4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6FD7" w:rsidRPr="00D31703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FD7" w:rsidRPr="00EF3A04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юр.лица, должность: для юридических лиц</w:t>
      </w:r>
    </w:p>
    <w:p w:rsidR="0043572C" w:rsidRPr="00D31703" w:rsidRDefault="0043572C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43572C" w:rsidRPr="00D31703" w:rsidSect="0043572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42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E1" w:rsidRDefault="003225E1">
      <w:pPr>
        <w:spacing w:after="0" w:line="240" w:lineRule="auto"/>
      </w:pPr>
      <w:r>
        <w:separator/>
      </w:r>
    </w:p>
  </w:endnote>
  <w:endnote w:type="continuationSeparator" w:id="0">
    <w:p w:rsidR="003225E1" w:rsidRDefault="0032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0C636C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6146" type="#_x0000_t202" style="position:absolute;margin-left:533.95pt;margin-top:819.1pt;width:69.1pt;height:19.9pt;z-index:-2516459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" filled="f" stroked="f">
          <v:textbox inset="0,0,0,0">
            <w:txbxContent>
              <w:p w:rsidR="00290E6D" w:rsidRDefault="00290E6D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6145" type="#_x0000_t202" style="position:absolute;margin-left:13.65pt;margin-top:822.7pt;width:276.7pt;height:15.3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290E6D" w:rsidRDefault="00290E6D">
                <w:pPr>
                  <w:pStyle w:val="afd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90E6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E1" w:rsidRDefault="003225E1">
      <w:pPr>
        <w:spacing w:after="0" w:line="240" w:lineRule="auto"/>
      </w:pPr>
      <w:r>
        <w:separator/>
      </w:r>
    </w:p>
  </w:footnote>
  <w:footnote w:type="continuationSeparator" w:id="0">
    <w:p w:rsidR="003225E1" w:rsidRDefault="0032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0C636C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6147" type="#_x0000_t202" style="position:absolute;margin-left:318.45pt;margin-top:27.55pt;width:9.6pt;height:8.4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90E6D">
    <w:pPr>
      <w:pStyle w:val="a6"/>
      <w:jc w:val="center"/>
    </w:pPr>
  </w:p>
  <w:p w:rsidR="00290E6D" w:rsidRDefault="00290E6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CB4964"/>
    <w:multiLevelType w:val="multilevel"/>
    <w:tmpl w:val="B06ED86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2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9"/>
  </w:num>
  <w:num w:numId="13">
    <w:abstractNumId w:val="18"/>
  </w:num>
  <w:num w:numId="14">
    <w:abstractNumId w:val="20"/>
  </w:num>
  <w:num w:numId="15">
    <w:abstractNumId w:val="11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4"/>
  </w:num>
  <w:num w:numId="21">
    <w:abstractNumId w:val="15"/>
  </w:num>
  <w:num w:numId="22">
    <w:abstractNumId w:val="3"/>
  </w:num>
  <w:num w:numId="23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hdrShapeDefaults>
    <o:shapedefaults v:ext="edit" spidmax="2969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10B6C"/>
    <w:rsid w:val="000275A7"/>
    <w:rsid w:val="000326C3"/>
    <w:rsid w:val="00034B51"/>
    <w:rsid w:val="0005392B"/>
    <w:rsid w:val="00063C2E"/>
    <w:rsid w:val="00064D69"/>
    <w:rsid w:val="00073468"/>
    <w:rsid w:val="00073FB7"/>
    <w:rsid w:val="00076307"/>
    <w:rsid w:val="000958DE"/>
    <w:rsid w:val="000A4D4E"/>
    <w:rsid w:val="000C0E6C"/>
    <w:rsid w:val="000C636C"/>
    <w:rsid w:val="000D2CD4"/>
    <w:rsid w:val="000D3855"/>
    <w:rsid w:val="00100571"/>
    <w:rsid w:val="00103455"/>
    <w:rsid w:val="001112FD"/>
    <w:rsid w:val="00116814"/>
    <w:rsid w:val="00126540"/>
    <w:rsid w:val="00134D49"/>
    <w:rsid w:val="00142D06"/>
    <w:rsid w:val="00144513"/>
    <w:rsid w:val="0014456C"/>
    <w:rsid w:val="00146C46"/>
    <w:rsid w:val="00175534"/>
    <w:rsid w:val="00185B8B"/>
    <w:rsid w:val="00195C5D"/>
    <w:rsid w:val="00197140"/>
    <w:rsid w:val="00197332"/>
    <w:rsid w:val="001A061B"/>
    <w:rsid w:val="001A38D3"/>
    <w:rsid w:val="001C30B2"/>
    <w:rsid w:val="001D5DD4"/>
    <w:rsid w:val="001D6659"/>
    <w:rsid w:val="00200944"/>
    <w:rsid w:val="00221847"/>
    <w:rsid w:val="002244A5"/>
    <w:rsid w:val="0022736E"/>
    <w:rsid w:val="0023042E"/>
    <w:rsid w:val="00236B08"/>
    <w:rsid w:val="0024190F"/>
    <w:rsid w:val="00243F67"/>
    <w:rsid w:val="0026524E"/>
    <w:rsid w:val="00266D90"/>
    <w:rsid w:val="00270E58"/>
    <w:rsid w:val="002849A1"/>
    <w:rsid w:val="002908B8"/>
    <w:rsid w:val="00290E6D"/>
    <w:rsid w:val="00295D59"/>
    <w:rsid w:val="00295F6A"/>
    <w:rsid w:val="002977AD"/>
    <w:rsid w:val="0029784B"/>
    <w:rsid w:val="002A3908"/>
    <w:rsid w:val="002B3E6A"/>
    <w:rsid w:val="002C11F6"/>
    <w:rsid w:val="002C1812"/>
    <w:rsid w:val="002D4054"/>
    <w:rsid w:val="002D5F51"/>
    <w:rsid w:val="002E0991"/>
    <w:rsid w:val="002E220C"/>
    <w:rsid w:val="002F5CC3"/>
    <w:rsid w:val="00317678"/>
    <w:rsid w:val="00321198"/>
    <w:rsid w:val="003225E1"/>
    <w:rsid w:val="00322E94"/>
    <w:rsid w:val="00327BCD"/>
    <w:rsid w:val="003404B2"/>
    <w:rsid w:val="0035770A"/>
    <w:rsid w:val="00370F85"/>
    <w:rsid w:val="003A074B"/>
    <w:rsid w:val="003A07CE"/>
    <w:rsid w:val="003A5A39"/>
    <w:rsid w:val="003B2D96"/>
    <w:rsid w:val="003B6C3D"/>
    <w:rsid w:val="003C29E5"/>
    <w:rsid w:val="003D1B2D"/>
    <w:rsid w:val="003E286B"/>
    <w:rsid w:val="003E6FE2"/>
    <w:rsid w:val="003E7435"/>
    <w:rsid w:val="00401DFB"/>
    <w:rsid w:val="00412273"/>
    <w:rsid w:val="004173D0"/>
    <w:rsid w:val="0042698B"/>
    <w:rsid w:val="0043572C"/>
    <w:rsid w:val="004515E8"/>
    <w:rsid w:val="0046298C"/>
    <w:rsid w:val="00472BB4"/>
    <w:rsid w:val="0048354D"/>
    <w:rsid w:val="004962A3"/>
    <w:rsid w:val="00496845"/>
    <w:rsid w:val="004A0468"/>
    <w:rsid w:val="004A2AC1"/>
    <w:rsid w:val="004A77C3"/>
    <w:rsid w:val="004B45FF"/>
    <w:rsid w:val="004C5FF3"/>
    <w:rsid w:val="004C7D6D"/>
    <w:rsid w:val="004D0580"/>
    <w:rsid w:val="004D09A6"/>
    <w:rsid w:val="004D120B"/>
    <w:rsid w:val="004D5B34"/>
    <w:rsid w:val="004E2DDE"/>
    <w:rsid w:val="00530F8F"/>
    <w:rsid w:val="00536722"/>
    <w:rsid w:val="00544D35"/>
    <w:rsid w:val="00544E21"/>
    <w:rsid w:val="00545D75"/>
    <w:rsid w:val="00547CA0"/>
    <w:rsid w:val="00552AAB"/>
    <w:rsid w:val="0058081F"/>
    <w:rsid w:val="00590AF0"/>
    <w:rsid w:val="005941BE"/>
    <w:rsid w:val="005961C5"/>
    <w:rsid w:val="005A0E7A"/>
    <w:rsid w:val="005A5D12"/>
    <w:rsid w:val="005B19AA"/>
    <w:rsid w:val="005B3116"/>
    <w:rsid w:val="005B6FD7"/>
    <w:rsid w:val="005D7D12"/>
    <w:rsid w:val="005E7747"/>
    <w:rsid w:val="00604D18"/>
    <w:rsid w:val="00615070"/>
    <w:rsid w:val="006354D9"/>
    <w:rsid w:val="006436E8"/>
    <w:rsid w:val="00673A0F"/>
    <w:rsid w:val="00681A95"/>
    <w:rsid w:val="00691C2A"/>
    <w:rsid w:val="00694A18"/>
    <w:rsid w:val="006C3F5C"/>
    <w:rsid w:val="006C54FE"/>
    <w:rsid w:val="006D0387"/>
    <w:rsid w:val="006D53B4"/>
    <w:rsid w:val="006E66BE"/>
    <w:rsid w:val="00700B9B"/>
    <w:rsid w:val="00707680"/>
    <w:rsid w:val="00727FBD"/>
    <w:rsid w:val="00730A7B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7F12AB"/>
    <w:rsid w:val="0084431C"/>
    <w:rsid w:val="0084761D"/>
    <w:rsid w:val="00862F56"/>
    <w:rsid w:val="008801AC"/>
    <w:rsid w:val="008908EC"/>
    <w:rsid w:val="00893764"/>
    <w:rsid w:val="00895565"/>
    <w:rsid w:val="008A3DC7"/>
    <w:rsid w:val="008C7C37"/>
    <w:rsid w:val="008D67FB"/>
    <w:rsid w:val="009006FE"/>
    <w:rsid w:val="009229E3"/>
    <w:rsid w:val="0092435E"/>
    <w:rsid w:val="009478E8"/>
    <w:rsid w:val="009540A8"/>
    <w:rsid w:val="0095528A"/>
    <w:rsid w:val="00957011"/>
    <w:rsid w:val="009571C8"/>
    <w:rsid w:val="00965328"/>
    <w:rsid w:val="00976D8A"/>
    <w:rsid w:val="00995A1A"/>
    <w:rsid w:val="009B4992"/>
    <w:rsid w:val="009B6E08"/>
    <w:rsid w:val="009C6F51"/>
    <w:rsid w:val="009D1495"/>
    <w:rsid w:val="009D287A"/>
    <w:rsid w:val="009D5B06"/>
    <w:rsid w:val="009F070E"/>
    <w:rsid w:val="009F4228"/>
    <w:rsid w:val="009F4A9C"/>
    <w:rsid w:val="00A00974"/>
    <w:rsid w:val="00A14B6F"/>
    <w:rsid w:val="00A24CD3"/>
    <w:rsid w:val="00A3421D"/>
    <w:rsid w:val="00A42EC9"/>
    <w:rsid w:val="00A47058"/>
    <w:rsid w:val="00A503CE"/>
    <w:rsid w:val="00A578C0"/>
    <w:rsid w:val="00A6324E"/>
    <w:rsid w:val="00A64B28"/>
    <w:rsid w:val="00A6671B"/>
    <w:rsid w:val="00A67235"/>
    <w:rsid w:val="00A90E41"/>
    <w:rsid w:val="00A97C3D"/>
    <w:rsid w:val="00AA4954"/>
    <w:rsid w:val="00AB66A1"/>
    <w:rsid w:val="00AC06BD"/>
    <w:rsid w:val="00AC7A3F"/>
    <w:rsid w:val="00B00D4C"/>
    <w:rsid w:val="00B04D9D"/>
    <w:rsid w:val="00B073A5"/>
    <w:rsid w:val="00B13DBB"/>
    <w:rsid w:val="00B22614"/>
    <w:rsid w:val="00B44B32"/>
    <w:rsid w:val="00B5181B"/>
    <w:rsid w:val="00B706B0"/>
    <w:rsid w:val="00B77A47"/>
    <w:rsid w:val="00BA5EB0"/>
    <w:rsid w:val="00BB6036"/>
    <w:rsid w:val="00BC0B61"/>
    <w:rsid w:val="00BC1BA1"/>
    <w:rsid w:val="00BD0E8F"/>
    <w:rsid w:val="00BD241B"/>
    <w:rsid w:val="00BD71BC"/>
    <w:rsid w:val="00BE405A"/>
    <w:rsid w:val="00BF5A0A"/>
    <w:rsid w:val="00C07021"/>
    <w:rsid w:val="00C17D96"/>
    <w:rsid w:val="00C30BD1"/>
    <w:rsid w:val="00C35B19"/>
    <w:rsid w:val="00C36519"/>
    <w:rsid w:val="00C4035B"/>
    <w:rsid w:val="00C414B9"/>
    <w:rsid w:val="00C41D82"/>
    <w:rsid w:val="00C46E2F"/>
    <w:rsid w:val="00C651F4"/>
    <w:rsid w:val="00C7713A"/>
    <w:rsid w:val="00C85E8A"/>
    <w:rsid w:val="00C9497F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A741D"/>
    <w:rsid w:val="00DD7DB5"/>
    <w:rsid w:val="00DF2DAB"/>
    <w:rsid w:val="00DF3A27"/>
    <w:rsid w:val="00DF4845"/>
    <w:rsid w:val="00DF5C5B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46C62"/>
    <w:rsid w:val="00EA1B97"/>
    <w:rsid w:val="00EA413C"/>
    <w:rsid w:val="00EB43B8"/>
    <w:rsid w:val="00EB51C4"/>
    <w:rsid w:val="00EB5AA4"/>
    <w:rsid w:val="00EB6B7D"/>
    <w:rsid w:val="00EC183B"/>
    <w:rsid w:val="00EE07A8"/>
    <w:rsid w:val="00EF362A"/>
    <w:rsid w:val="00EF3A04"/>
    <w:rsid w:val="00F04B49"/>
    <w:rsid w:val="00F063DE"/>
    <w:rsid w:val="00F119A5"/>
    <w:rsid w:val="00F170CC"/>
    <w:rsid w:val="00F24D77"/>
    <w:rsid w:val="00F3159C"/>
    <w:rsid w:val="00F31AC6"/>
    <w:rsid w:val="00F348E8"/>
    <w:rsid w:val="00F42503"/>
    <w:rsid w:val="00F434FD"/>
    <w:rsid w:val="00F66667"/>
    <w:rsid w:val="00F67190"/>
    <w:rsid w:val="00F718C6"/>
    <w:rsid w:val="00F74CD0"/>
    <w:rsid w:val="00F8044E"/>
    <w:rsid w:val="00FB6DF3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9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rsid w:val="00536722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0D3855"/>
    <w:rPr>
      <w:rFonts w:ascii="Calibri" w:eastAsia="Calibri" w:hAnsi="Calibri" w:cs="Calibri"/>
      <w:lang w:eastAsia="ru-RU"/>
    </w:rPr>
  </w:style>
  <w:style w:type="paragraph" w:styleId="afe">
    <w:name w:val="Body Text Indent"/>
    <w:basedOn w:val="a"/>
    <w:link w:val="aff"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10"/>
    <w:rsid w:val="000D385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f0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0D38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F626D07CEC88014FCAB31E32D2571D3E4AE6F918E08633666B33932AE4074FF96577497F02401DC63468469361R6G" TargetMode="External"/><Relationship Id="rId14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6FC6-38F2-4ECA-A13D-EFB0C0D7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2</cp:revision>
  <cp:lastPrinted>2024-02-29T11:45:00Z</cp:lastPrinted>
  <dcterms:created xsi:type="dcterms:W3CDTF">2024-03-14T08:42:00Z</dcterms:created>
  <dcterms:modified xsi:type="dcterms:W3CDTF">2024-03-14T08:42:00Z</dcterms:modified>
</cp:coreProperties>
</file>